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79E6" w:rsidRPr="00072CE6" w:rsidRDefault="00D379E6" w:rsidP="00D379E6">
      <w:pPr>
        <w:spacing w:after="0"/>
        <w:rPr>
          <w:lang w:val="en"/>
        </w:rPr>
      </w:pPr>
      <w:r w:rsidRPr="00072CE6">
        <w:rPr>
          <w:bCs/>
          <w:iCs/>
        </w:rPr>
        <w:t xml:space="preserve">Several organized religions hold pantheistic views. </w:t>
      </w:r>
      <w:r w:rsidRPr="00072CE6">
        <w:rPr>
          <w:b/>
          <w:bCs/>
        </w:rPr>
        <w:t>Hinduism</w:t>
      </w:r>
      <w:r w:rsidRPr="00072CE6">
        <w:rPr>
          <w:bCs/>
        </w:rPr>
        <w:t xml:space="preserve"> is the belief that </w:t>
      </w:r>
      <w:r w:rsidRPr="00072CE6">
        <w:rPr>
          <w:lang w:val="en"/>
        </w:rPr>
        <w:t xml:space="preserve">the divine exists in all beings. Hindus feel that all human beings can achieve union with this "innate divinity” and contribute to social harmony. For most Hindus, their religion is not just a faith. It is a combination of reason and intuition that cannot be defined, but only experienced. Hinduism is distinguished by its teaching of reincarnation, a cycle of birth and rebirth. The associated philosophy of </w:t>
      </w:r>
      <w:r w:rsidRPr="00072CE6">
        <w:rPr>
          <w:i/>
          <w:lang w:val="en"/>
        </w:rPr>
        <w:t>karma</w:t>
      </w:r>
      <w:r w:rsidRPr="00072CE6">
        <w:rPr>
          <w:lang w:val="en"/>
        </w:rPr>
        <w:t xml:space="preserve"> holds that individual intent and actions influence a person’s future.</w:t>
      </w:r>
    </w:p>
    <w:p w:rsidR="00D379E6" w:rsidRPr="00072CE6" w:rsidRDefault="00D379E6" w:rsidP="00D379E6">
      <w:pPr>
        <w:spacing w:after="0"/>
        <w:rPr>
          <w:lang w:val="en"/>
        </w:rPr>
      </w:pPr>
    </w:p>
    <w:p w:rsidR="00D379E6" w:rsidRPr="00072CE6" w:rsidRDefault="00D379E6" w:rsidP="00D379E6">
      <w:pPr>
        <w:spacing w:after="0"/>
        <w:rPr>
          <w:lang w:val="en"/>
        </w:rPr>
      </w:pPr>
      <w:r w:rsidRPr="00072CE6">
        <w:rPr>
          <w:b/>
          <w:lang w:val="en"/>
        </w:rPr>
        <w:t>Jainism</w:t>
      </w:r>
      <w:r w:rsidRPr="00072CE6">
        <w:rPr>
          <w:lang w:val="en"/>
        </w:rPr>
        <w:t xml:space="preserve"> prescribes a path of ahimsa (non-violence) towards all living beings, and emphasizes spiritual interdependence and equality between all forms of life. Jains believe that nonviolence and self-control are the means by which they can obtain liberation from the cycle of birth and rebirth. Self-denial is a major focus of the Jain faith. </w:t>
      </w:r>
    </w:p>
    <w:p w:rsidR="00D379E6" w:rsidRPr="00072CE6" w:rsidRDefault="00D379E6" w:rsidP="00D379E6">
      <w:pPr>
        <w:spacing w:after="0"/>
        <w:rPr>
          <w:bCs/>
        </w:rPr>
      </w:pPr>
    </w:p>
    <w:p w:rsidR="00D379E6" w:rsidRPr="00072CE6" w:rsidRDefault="00D379E6" w:rsidP="00D379E6">
      <w:pPr>
        <w:spacing w:after="0"/>
        <w:rPr>
          <w:bCs/>
        </w:rPr>
      </w:pPr>
      <w:r w:rsidRPr="00072CE6">
        <w:rPr>
          <w:bCs/>
        </w:rPr>
        <w:t xml:space="preserve">The </w:t>
      </w:r>
      <w:hyperlink r:id="rId6" w:history="1">
        <w:r w:rsidRPr="000C7600">
          <w:rPr>
            <w:rStyle w:val="Hyperlink"/>
            <w:b/>
            <w:bCs/>
            <w:color w:val="auto"/>
            <w:u w:val="none"/>
          </w:rPr>
          <w:t>New Age</w:t>
        </w:r>
      </w:hyperlink>
      <w:r w:rsidRPr="00072CE6">
        <w:rPr>
          <w:bCs/>
        </w:rPr>
        <w:t xml:space="preserve"> movement has a pantheistic view of God. 1) “God” is an impersonal, cosmic energy force. 2) Man is himself God, for he consists of and is the creator of "the forces.” 3) Man should seek and accept spiritual instruction directly from the spirit world. 4) All religions and religious teachings lead to the same goal. All have equal merit. 5) Sin and evil do not exist. Peace and love are the ultimate realities. </w:t>
      </w:r>
    </w:p>
    <w:p w:rsidR="00D379E6" w:rsidRPr="00072CE6" w:rsidRDefault="00D379E6" w:rsidP="00D379E6">
      <w:pPr>
        <w:spacing w:after="0"/>
        <w:rPr>
          <w:bCs/>
        </w:rPr>
      </w:pPr>
    </w:p>
    <w:p w:rsidR="00D379E6" w:rsidRDefault="00D379E6" w:rsidP="00D379E6">
      <w:pPr>
        <w:spacing w:after="0"/>
        <w:rPr>
          <w:bCs/>
        </w:rPr>
      </w:pPr>
      <w:r w:rsidRPr="00072CE6">
        <w:rPr>
          <w:b/>
          <w:bCs/>
        </w:rPr>
        <w:t>Superstition</w:t>
      </w:r>
      <w:r w:rsidRPr="00072CE6">
        <w:rPr>
          <w:bCs/>
        </w:rPr>
        <w:t xml:space="preserve"> is a belief held by some people who assign irrational, even supernatural causes to events they do not understand. Generally speaking, those who do not accept the idea of a providential God have a false conception of causation and a fear of the unknown. They are likely to trust in magic or chance and seek knowledge about future events through some form of </w:t>
      </w:r>
      <w:r w:rsidRPr="00072CE6">
        <w:rPr>
          <w:b/>
          <w:bCs/>
        </w:rPr>
        <w:t>fortune telling.</w:t>
      </w:r>
      <w:r w:rsidRPr="00072CE6">
        <w:rPr>
          <w:bCs/>
        </w:rPr>
        <w:t xml:space="preserve"> They typically believe that one should avoid anything that </w:t>
      </w:r>
    </w:p>
    <w:p w:rsidR="00D379E6" w:rsidRDefault="00D379E6" w:rsidP="00D379E6">
      <w:pPr>
        <w:spacing w:after="0"/>
        <w:rPr>
          <w:bCs/>
        </w:rPr>
      </w:pPr>
    </w:p>
    <w:p w:rsidR="00D379E6" w:rsidRDefault="00D379E6" w:rsidP="00D379E6">
      <w:pPr>
        <w:spacing w:after="0"/>
        <w:rPr>
          <w:bCs/>
        </w:rPr>
      </w:pPr>
    </w:p>
    <w:p w:rsidR="00D379E6" w:rsidRDefault="00D379E6" w:rsidP="00D379E6">
      <w:pPr>
        <w:spacing w:after="0"/>
        <w:jc w:val="center"/>
        <w:rPr>
          <w:bCs/>
        </w:rPr>
      </w:pPr>
      <w:r>
        <w:rPr>
          <w:bCs/>
        </w:rPr>
        <w:t>6</w:t>
      </w:r>
    </w:p>
    <w:p w:rsidR="00D379E6" w:rsidRPr="00750B81" w:rsidRDefault="00D379E6" w:rsidP="00D379E6">
      <w:pPr>
        <w:spacing w:after="0"/>
        <w:rPr>
          <w:bCs/>
          <w:u w:val="single"/>
        </w:rPr>
      </w:pPr>
      <w:r w:rsidRPr="00750B81">
        <w:rPr>
          <w:bCs/>
          <w:u w:val="single"/>
        </w:rPr>
        <w:lastRenderedPageBreak/>
        <w:t>Adoration</w:t>
      </w:r>
    </w:p>
    <w:p w:rsidR="00D379E6" w:rsidRPr="007F592B" w:rsidRDefault="00D379E6" w:rsidP="00D379E6">
      <w:pPr>
        <w:spacing w:after="0"/>
        <w:rPr>
          <w:bCs/>
        </w:rPr>
      </w:pPr>
      <w:r>
        <w:rPr>
          <w:bCs/>
        </w:rPr>
        <w:t xml:space="preserve">When we praise God, we </w:t>
      </w:r>
      <w:r w:rsidRPr="007F592B">
        <w:rPr>
          <w:bCs/>
        </w:rPr>
        <w:t>focus on the character of God.</w:t>
      </w:r>
      <w:r>
        <w:rPr>
          <w:bCs/>
        </w:rPr>
        <w:t xml:space="preserve"> </w:t>
      </w:r>
      <w:r w:rsidRPr="007F592B">
        <w:rPr>
          <w:bCs/>
        </w:rPr>
        <w:t xml:space="preserve">We praise </w:t>
      </w:r>
      <w:r>
        <w:rPr>
          <w:bCs/>
        </w:rPr>
        <w:t>His greatness and worship Hi</w:t>
      </w:r>
      <w:r w:rsidRPr="007F592B">
        <w:rPr>
          <w:bCs/>
        </w:rPr>
        <w:t>s majesty.</w:t>
      </w:r>
      <w:r>
        <w:rPr>
          <w:bCs/>
        </w:rPr>
        <w:t xml:space="preserve"> We </w:t>
      </w:r>
      <w:r w:rsidRPr="007F592B">
        <w:rPr>
          <w:bCs/>
        </w:rPr>
        <w:t>acknowledge our dependence on him in all things</w:t>
      </w:r>
      <w:r>
        <w:rPr>
          <w:bCs/>
        </w:rPr>
        <w:t xml:space="preserve"> (1 Chron. 29:11-12).</w:t>
      </w:r>
    </w:p>
    <w:p w:rsidR="00D379E6" w:rsidRPr="00625F78" w:rsidRDefault="00D379E6" w:rsidP="00D379E6">
      <w:pPr>
        <w:spacing w:after="0"/>
        <w:rPr>
          <w:bCs/>
          <w:u w:val="single"/>
        </w:rPr>
      </w:pPr>
      <w:r w:rsidRPr="00625F78">
        <w:rPr>
          <w:bCs/>
          <w:u w:val="single"/>
        </w:rPr>
        <w:t>Confession</w:t>
      </w:r>
    </w:p>
    <w:p w:rsidR="00D379E6" w:rsidRPr="007F592B" w:rsidRDefault="00D379E6" w:rsidP="00D379E6">
      <w:pPr>
        <w:spacing w:after="0"/>
        <w:rPr>
          <w:bCs/>
        </w:rPr>
      </w:pPr>
      <w:r>
        <w:rPr>
          <w:bCs/>
        </w:rPr>
        <w:t>God knows our sins already, b</w:t>
      </w:r>
      <w:r w:rsidRPr="007F592B">
        <w:rPr>
          <w:bCs/>
        </w:rPr>
        <w:t>ut “confession is good for the soul.”</w:t>
      </w:r>
      <w:r>
        <w:rPr>
          <w:bCs/>
        </w:rPr>
        <w:t xml:space="preserve"> When we acknowledge that God is righteous and we are sinful, we prepare our hearts to receive God’s forgiveness and blessing (Daniel 9:4-19). </w:t>
      </w:r>
    </w:p>
    <w:p w:rsidR="00D379E6" w:rsidRPr="00625F78" w:rsidRDefault="00D379E6" w:rsidP="00D379E6">
      <w:pPr>
        <w:spacing w:after="0"/>
        <w:rPr>
          <w:bCs/>
          <w:u w:val="single"/>
        </w:rPr>
      </w:pPr>
      <w:r w:rsidRPr="00625F78">
        <w:rPr>
          <w:bCs/>
          <w:u w:val="single"/>
        </w:rPr>
        <w:t>Thanksgiving</w:t>
      </w:r>
    </w:p>
    <w:p w:rsidR="00D379E6" w:rsidRPr="007F592B" w:rsidRDefault="00D379E6" w:rsidP="00D379E6">
      <w:pPr>
        <w:spacing w:after="0"/>
        <w:rPr>
          <w:bCs/>
        </w:rPr>
      </w:pPr>
      <w:r w:rsidRPr="007F592B">
        <w:rPr>
          <w:bCs/>
        </w:rPr>
        <w:t>All blessings come from God (James 1:17)</w:t>
      </w:r>
      <w:r>
        <w:rPr>
          <w:bCs/>
        </w:rPr>
        <w:t xml:space="preserve"> and our g</w:t>
      </w:r>
      <w:r w:rsidRPr="007F592B">
        <w:rPr>
          <w:bCs/>
        </w:rPr>
        <w:t>ratitude is a response to God’s blessings (1 Cor. 9:11).</w:t>
      </w:r>
      <w:r>
        <w:rPr>
          <w:bCs/>
        </w:rPr>
        <w:t xml:space="preserve"> Because i</w:t>
      </w:r>
      <w:r w:rsidRPr="007F592B">
        <w:rPr>
          <w:bCs/>
        </w:rPr>
        <w:t>n</w:t>
      </w:r>
      <w:r>
        <w:rPr>
          <w:bCs/>
        </w:rPr>
        <w:t>gratitude is sinful (Rom. 1:21) we</w:t>
      </w:r>
      <w:r w:rsidRPr="007F592B">
        <w:rPr>
          <w:bCs/>
        </w:rPr>
        <w:t xml:space="preserve"> should develop an “attitude of gratitude.”</w:t>
      </w:r>
    </w:p>
    <w:p w:rsidR="00D379E6" w:rsidRPr="007F592B" w:rsidRDefault="00D379E6" w:rsidP="00D379E6">
      <w:pPr>
        <w:spacing w:after="0"/>
        <w:rPr>
          <w:bCs/>
        </w:rPr>
      </w:pPr>
      <w:r w:rsidRPr="00133285">
        <w:rPr>
          <w:bCs/>
          <w:u w:val="single"/>
        </w:rPr>
        <w:t>Supplication</w:t>
      </w:r>
      <w:r w:rsidRPr="007F592B">
        <w:rPr>
          <w:bCs/>
        </w:rPr>
        <w:t xml:space="preserve"> (request, petition, intercession)</w:t>
      </w:r>
    </w:p>
    <w:p w:rsidR="00D379E6" w:rsidRPr="00D379E6" w:rsidRDefault="00D379E6" w:rsidP="00D379E6">
      <w:pPr>
        <w:spacing w:after="0"/>
        <w:rPr>
          <w:bCs/>
        </w:rPr>
      </w:pPr>
      <w:r>
        <w:rPr>
          <w:bCs/>
        </w:rPr>
        <w:t xml:space="preserve">When we have needs, we should “come boldly to the throne of grace that we may obtain mercy, and find grace to help in time of need” (Heb. 4:16). We may ask God for many things, including 1) </w:t>
      </w:r>
      <w:r w:rsidRPr="007F592B">
        <w:rPr>
          <w:bCs/>
        </w:rPr>
        <w:t xml:space="preserve">mercy </w:t>
      </w:r>
      <w:bookmarkStart w:id="0" w:name="_GoBack"/>
      <w:bookmarkEnd w:id="0"/>
      <w:r w:rsidRPr="00D379E6">
        <w:rPr>
          <w:bCs/>
        </w:rPr>
        <w:t>(</w:t>
      </w:r>
      <w:hyperlink r:id="rId7" w:history="1">
        <w:r w:rsidRPr="00D379E6">
          <w:rPr>
            <w:rStyle w:val="Hyperlink"/>
            <w:bCs/>
            <w:color w:val="auto"/>
            <w:u w:val="none"/>
          </w:rPr>
          <w:t>Psalm 4:1</w:t>
        </w:r>
      </w:hyperlink>
      <w:r w:rsidRPr="00D379E6">
        <w:rPr>
          <w:bCs/>
        </w:rPr>
        <w:t>); 2) leading (</w:t>
      </w:r>
      <w:hyperlink r:id="rId8" w:history="1">
        <w:r w:rsidRPr="00D379E6">
          <w:rPr>
            <w:rStyle w:val="Hyperlink"/>
            <w:bCs/>
            <w:color w:val="auto"/>
            <w:u w:val="none"/>
          </w:rPr>
          <w:t>Psalm 5:8</w:t>
        </w:r>
      </w:hyperlink>
      <w:r w:rsidRPr="00D379E6">
        <w:rPr>
          <w:bCs/>
        </w:rPr>
        <w:t>); 3) deliverance (</w:t>
      </w:r>
      <w:hyperlink r:id="rId9" w:history="1">
        <w:r w:rsidRPr="00D379E6">
          <w:rPr>
            <w:rStyle w:val="Hyperlink"/>
            <w:bCs/>
            <w:color w:val="auto"/>
            <w:u w:val="none"/>
          </w:rPr>
          <w:t>Psalm 6:4</w:t>
        </w:r>
      </w:hyperlink>
      <w:r w:rsidRPr="00D379E6">
        <w:rPr>
          <w:bCs/>
        </w:rPr>
        <w:t>); 4) salvation from persecution (</w:t>
      </w:r>
      <w:hyperlink r:id="rId10" w:history="1">
        <w:r w:rsidRPr="00D379E6">
          <w:rPr>
            <w:rStyle w:val="Hyperlink"/>
            <w:bCs/>
            <w:color w:val="auto"/>
            <w:u w:val="none"/>
          </w:rPr>
          <w:t>Psalm 7:1</w:t>
        </w:r>
      </w:hyperlink>
      <w:r w:rsidRPr="00D379E6">
        <w:rPr>
          <w:bCs/>
        </w:rPr>
        <w:t>); and 5) our daily bread (</w:t>
      </w:r>
      <w:hyperlink r:id="rId11" w:history="1">
        <w:r w:rsidRPr="00D379E6">
          <w:rPr>
            <w:rStyle w:val="Hyperlink"/>
            <w:bCs/>
            <w:color w:val="auto"/>
            <w:u w:val="none"/>
          </w:rPr>
          <w:t>Matt. 6:11</w:t>
        </w:r>
      </w:hyperlink>
      <w:r w:rsidRPr="00D379E6">
        <w:rPr>
          <w:bCs/>
        </w:rPr>
        <w:t>).</w:t>
      </w:r>
    </w:p>
    <w:p w:rsidR="00D379E6" w:rsidRPr="00D379E6" w:rsidRDefault="00D379E6" w:rsidP="00D379E6">
      <w:pPr>
        <w:spacing w:after="0"/>
        <w:rPr>
          <w:bCs/>
        </w:rPr>
      </w:pPr>
    </w:p>
    <w:p w:rsidR="00D379E6" w:rsidRDefault="00D379E6" w:rsidP="00D379E6">
      <w:pPr>
        <w:spacing w:after="0"/>
        <w:rPr>
          <w:bCs/>
        </w:rPr>
      </w:pPr>
      <w:r>
        <w:rPr>
          <w:bCs/>
        </w:rPr>
        <w:t xml:space="preserve">Some people raise objections to prayer. 1) </w:t>
      </w:r>
      <w:r w:rsidRPr="007F592B">
        <w:rPr>
          <w:bCs/>
        </w:rPr>
        <w:t>If God is all-wise, does He not know what we need without our asking?</w:t>
      </w:r>
      <w:r>
        <w:rPr>
          <w:bCs/>
        </w:rPr>
        <w:t xml:space="preserve"> 2) If God is all-good, will </w:t>
      </w:r>
      <w:proofErr w:type="gramStart"/>
      <w:r>
        <w:rPr>
          <w:bCs/>
        </w:rPr>
        <w:t>He</w:t>
      </w:r>
      <w:proofErr w:type="gramEnd"/>
      <w:r>
        <w:rPr>
          <w:bCs/>
        </w:rPr>
        <w:t xml:space="preserve"> </w:t>
      </w:r>
      <w:r w:rsidRPr="007F592B">
        <w:rPr>
          <w:bCs/>
        </w:rPr>
        <w:t>not grant what we need without our trying to persuade Him?</w:t>
      </w:r>
      <w:r>
        <w:rPr>
          <w:bCs/>
        </w:rPr>
        <w:t xml:space="preserve"> It is true that </w:t>
      </w:r>
      <w:r w:rsidRPr="007F592B">
        <w:rPr>
          <w:bCs/>
        </w:rPr>
        <w:t>God knows wh</w:t>
      </w:r>
      <w:r>
        <w:rPr>
          <w:bCs/>
        </w:rPr>
        <w:t>at we need before we ask for it, b</w:t>
      </w:r>
      <w:r w:rsidRPr="007F592B">
        <w:rPr>
          <w:bCs/>
        </w:rPr>
        <w:t>ut does this mean that God automatically gives us what we need?</w:t>
      </w:r>
      <w:r>
        <w:rPr>
          <w:bCs/>
        </w:rPr>
        <w:t xml:space="preserve"> </w:t>
      </w:r>
      <w:r w:rsidRPr="007F592B">
        <w:rPr>
          <w:bCs/>
        </w:rPr>
        <w:t>If so, would people not become Christians simply to receive personal benefits?</w:t>
      </w:r>
      <w:r>
        <w:rPr>
          <w:bCs/>
        </w:rPr>
        <w:t xml:space="preserve"> </w:t>
      </w:r>
    </w:p>
    <w:p w:rsidR="00D379E6" w:rsidRDefault="00D379E6" w:rsidP="00D379E6">
      <w:pPr>
        <w:spacing w:after="0"/>
        <w:rPr>
          <w:bCs/>
        </w:rPr>
      </w:pPr>
    </w:p>
    <w:p w:rsidR="00D379E6" w:rsidRDefault="00D379E6" w:rsidP="00D379E6">
      <w:pPr>
        <w:spacing w:after="0"/>
        <w:rPr>
          <w:bCs/>
        </w:rPr>
      </w:pPr>
      <w:r>
        <w:rPr>
          <w:bCs/>
        </w:rPr>
        <w:t xml:space="preserve">Here are some ways in which God answers </w:t>
      </w:r>
      <w:r w:rsidRPr="007F592B">
        <w:rPr>
          <w:bCs/>
        </w:rPr>
        <w:t>the prayers of Christians.</w:t>
      </w:r>
      <w:r>
        <w:rPr>
          <w:bCs/>
        </w:rPr>
        <w:t xml:space="preserve"> 1) </w:t>
      </w:r>
      <w:r w:rsidRPr="007F592B">
        <w:rPr>
          <w:bCs/>
          <w:i/>
          <w:iCs/>
        </w:rPr>
        <w:t>No</w:t>
      </w:r>
      <w:r>
        <w:rPr>
          <w:bCs/>
        </w:rPr>
        <w:t>. This was the answer to Christ’s prayer in the Garden of Gethsemane when He asked God to “let this cup pass from me” (</w:t>
      </w:r>
      <w:r w:rsidRPr="007F592B">
        <w:rPr>
          <w:bCs/>
        </w:rPr>
        <w:t>Matt. 26:39).</w:t>
      </w:r>
      <w:r>
        <w:rPr>
          <w:bCs/>
        </w:rPr>
        <w:t xml:space="preserve"> 2) </w:t>
      </w:r>
      <w:r w:rsidRPr="007F592B">
        <w:rPr>
          <w:bCs/>
          <w:i/>
          <w:iCs/>
        </w:rPr>
        <w:t>Wait</w:t>
      </w:r>
      <w:r>
        <w:rPr>
          <w:bCs/>
          <w:i/>
          <w:iCs/>
        </w:rPr>
        <w:t>.</w:t>
      </w:r>
      <w:r w:rsidRPr="007F592B">
        <w:rPr>
          <w:bCs/>
        </w:rPr>
        <w:t xml:space="preserve"> </w:t>
      </w:r>
      <w:r>
        <w:rPr>
          <w:bCs/>
        </w:rPr>
        <w:t>Many months passed before Nehemiah was</w:t>
      </w:r>
    </w:p>
    <w:p w:rsidR="00D379E6" w:rsidRDefault="00D379E6" w:rsidP="00D379E6">
      <w:pPr>
        <w:spacing w:after="0"/>
        <w:rPr>
          <w:bCs/>
        </w:rPr>
      </w:pPr>
    </w:p>
    <w:p w:rsidR="009B478A" w:rsidRPr="007F252E" w:rsidRDefault="00D379E6" w:rsidP="007F252E">
      <w:pPr>
        <w:spacing w:after="0"/>
        <w:jc w:val="center"/>
        <w:rPr>
          <w:bCs/>
        </w:rPr>
      </w:pPr>
      <w:r>
        <w:rPr>
          <w:bCs/>
        </w:rPr>
        <w:t>39</w:t>
      </w:r>
    </w:p>
    <w:sectPr w:rsidR="009B478A" w:rsidRPr="007F252E" w:rsidSect="000778A1">
      <w:pgSz w:w="15840" w:h="12240" w:orient="landscape"/>
      <w:pgMar w:top="864" w:right="864" w:bottom="432"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D4023"/>
    <w:multiLevelType w:val="hybridMultilevel"/>
    <w:tmpl w:val="D8E43A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2833354"/>
    <w:multiLevelType w:val="hybridMultilevel"/>
    <w:tmpl w:val="67048716"/>
    <w:lvl w:ilvl="0" w:tplc="BF6AC97E">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1608A4"/>
    <w:multiLevelType w:val="hybridMultilevel"/>
    <w:tmpl w:val="F572D2A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nsid w:val="270B044F"/>
    <w:multiLevelType w:val="hybridMultilevel"/>
    <w:tmpl w:val="A6082962"/>
    <w:lvl w:ilvl="0" w:tplc="26CCD366">
      <w:start w:val="1"/>
      <w:numFmt w:val="decimal"/>
      <w:lvlText w:val="%1."/>
      <w:lvlJc w:val="left"/>
      <w:pPr>
        <w:ind w:left="0" w:hanging="360"/>
      </w:pPr>
      <w:rPr>
        <w:rFonts w:ascii="Calibri" w:hAnsi="Calibri" w:cs="Calibri" w:hint="default"/>
        <w:b/>
        <w:sz w:val="24"/>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49F45B26"/>
    <w:multiLevelType w:val="hybridMultilevel"/>
    <w:tmpl w:val="63F6407C"/>
    <w:lvl w:ilvl="0" w:tplc="5378904E">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B33E9B"/>
    <w:multiLevelType w:val="hybridMultilevel"/>
    <w:tmpl w:val="F64A0146"/>
    <w:lvl w:ilvl="0" w:tplc="E98E6A3C">
      <w:start w:val="1"/>
      <w:numFmt w:val="decimal"/>
      <w:lvlText w:val="%1."/>
      <w:lvlJc w:val="left"/>
      <w:pPr>
        <w:ind w:left="0" w:hanging="360"/>
      </w:pPr>
      <w:rPr>
        <w:rFonts w:ascii="Calibri" w:hAnsi="Calibri" w:cs="Calibri" w:hint="default"/>
        <w:b/>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nsid w:val="58212B9F"/>
    <w:multiLevelType w:val="hybridMultilevel"/>
    <w:tmpl w:val="49D02D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B7C63A3"/>
    <w:multiLevelType w:val="hybridMultilevel"/>
    <w:tmpl w:val="F3B88CA8"/>
    <w:lvl w:ilvl="0" w:tplc="89CA86AC">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410C85"/>
    <w:multiLevelType w:val="hybridMultilevel"/>
    <w:tmpl w:val="93E2E8B2"/>
    <w:lvl w:ilvl="0" w:tplc="88A4955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FF20367"/>
    <w:multiLevelType w:val="hybridMultilevel"/>
    <w:tmpl w:val="6382F3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6214E2D"/>
    <w:multiLevelType w:val="hybridMultilevel"/>
    <w:tmpl w:val="A4DE8882"/>
    <w:lvl w:ilvl="0" w:tplc="657E11D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65C22FF"/>
    <w:multiLevelType w:val="hybridMultilevel"/>
    <w:tmpl w:val="CD40CF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7D8056F"/>
    <w:multiLevelType w:val="hybridMultilevel"/>
    <w:tmpl w:val="BCC200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BE676ED"/>
    <w:multiLevelType w:val="hybridMultilevel"/>
    <w:tmpl w:val="446C3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6"/>
  </w:num>
  <w:num w:numId="3">
    <w:abstractNumId w:val="12"/>
  </w:num>
  <w:num w:numId="4">
    <w:abstractNumId w:val="9"/>
  </w:num>
  <w:num w:numId="5">
    <w:abstractNumId w:val="13"/>
  </w:num>
  <w:num w:numId="6">
    <w:abstractNumId w:val="2"/>
  </w:num>
  <w:num w:numId="7">
    <w:abstractNumId w:val="11"/>
  </w:num>
  <w:num w:numId="8">
    <w:abstractNumId w:val="3"/>
  </w:num>
  <w:num w:numId="9">
    <w:abstractNumId w:val="7"/>
  </w:num>
  <w:num w:numId="10">
    <w:abstractNumId w:val="1"/>
  </w:num>
  <w:num w:numId="11">
    <w:abstractNumId w:val="8"/>
  </w:num>
  <w:num w:numId="12">
    <w:abstractNumId w:val="5"/>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178A6"/>
    <w:rsid w:val="000314FC"/>
    <w:rsid w:val="00033C13"/>
    <w:rsid w:val="0006516D"/>
    <w:rsid w:val="000733F0"/>
    <w:rsid w:val="000778A1"/>
    <w:rsid w:val="000B34F5"/>
    <w:rsid w:val="000C7600"/>
    <w:rsid w:val="000E0724"/>
    <w:rsid w:val="00127B6E"/>
    <w:rsid w:val="001B12B5"/>
    <w:rsid w:val="00215EE4"/>
    <w:rsid w:val="00291164"/>
    <w:rsid w:val="002B1F88"/>
    <w:rsid w:val="00304264"/>
    <w:rsid w:val="00307975"/>
    <w:rsid w:val="003140A5"/>
    <w:rsid w:val="003152AB"/>
    <w:rsid w:val="003334E4"/>
    <w:rsid w:val="003500CD"/>
    <w:rsid w:val="003538FC"/>
    <w:rsid w:val="00395587"/>
    <w:rsid w:val="003C2A38"/>
    <w:rsid w:val="00422E39"/>
    <w:rsid w:val="00474CD2"/>
    <w:rsid w:val="0049113D"/>
    <w:rsid w:val="004D4595"/>
    <w:rsid w:val="005059EE"/>
    <w:rsid w:val="0052003F"/>
    <w:rsid w:val="00593715"/>
    <w:rsid w:val="005A506C"/>
    <w:rsid w:val="005D137C"/>
    <w:rsid w:val="006B53F7"/>
    <w:rsid w:val="006E651A"/>
    <w:rsid w:val="00725358"/>
    <w:rsid w:val="007919E7"/>
    <w:rsid w:val="007B5085"/>
    <w:rsid w:val="007C6D70"/>
    <w:rsid w:val="007F252E"/>
    <w:rsid w:val="00811892"/>
    <w:rsid w:val="0084485D"/>
    <w:rsid w:val="00857192"/>
    <w:rsid w:val="008A0FB9"/>
    <w:rsid w:val="008B665D"/>
    <w:rsid w:val="008C1D9D"/>
    <w:rsid w:val="008E0608"/>
    <w:rsid w:val="008E7C8A"/>
    <w:rsid w:val="009269DB"/>
    <w:rsid w:val="0093448E"/>
    <w:rsid w:val="009B478A"/>
    <w:rsid w:val="009E3FCE"/>
    <w:rsid w:val="00AD5DBE"/>
    <w:rsid w:val="00B223ED"/>
    <w:rsid w:val="00B25A52"/>
    <w:rsid w:val="00B403DB"/>
    <w:rsid w:val="00B716A9"/>
    <w:rsid w:val="00BB7C05"/>
    <w:rsid w:val="00BF7D15"/>
    <w:rsid w:val="00C73442"/>
    <w:rsid w:val="00C9451C"/>
    <w:rsid w:val="00CA325B"/>
    <w:rsid w:val="00CB42E9"/>
    <w:rsid w:val="00CD7C7E"/>
    <w:rsid w:val="00D2745F"/>
    <w:rsid w:val="00D3347E"/>
    <w:rsid w:val="00D379E6"/>
    <w:rsid w:val="00D77747"/>
    <w:rsid w:val="00DA72AB"/>
    <w:rsid w:val="00E413AD"/>
    <w:rsid w:val="00E51842"/>
    <w:rsid w:val="00E923EE"/>
    <w:rsid w:val="00E977B5"/>
    <w:rsid w:val="00EE1047"/>
    <w:rsid w:val="00F24681"/>
    <w:rsid w:val="00F33D0E"/>
    <w:rsid w:val="00F4194B"/>
    <w:rsid w:val="00F6204A"/>
    <w:rsid w:val="00FA2648"/>
    <w:rsid w:val="00FB27A7"/>
    <w:rsid w:val="00FB3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 w:type="character" w:styleId="Hyperlink">
    <w:name w:val="Hyperlink"/>
    <w:basedOn w:val="DefaultParagraphFont"/>
    <w:uiPriority w:val="99"/>
    <w:unhideWhenUsed/>
    <w:rsid w:val="00D379E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 w:type="character" w:styleId="Hyperlink">
    <w:name w:val="Hyperlink"/>
    <w:basedOn w:val="DefaultParagraphFont"/>
    <w:uiPriority w:val="99"/>
    <w:unhideWhenUsed/>
    <w:rsid w:val="00D379E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48464">
      <w:bodyDiv w:val="1"/>
      <w:marLeft w:val="0"/>
      <w:marRight w:val="0"/>
      <w:marTop w:val="0"/>
      <w:marBottom w:val="0"/>
      <w:divBdr>
        <w:top w:val="none" w:sz="0" w:space="0" w:color="auto"/>
        <w:left w:val="none" w:sz="0" w:space="0" w:color="auto"/>
        <w:bottom w:val="none" w:sz="0" w:space="0" w:color="auto"/>
        <w:right w:val="none" w:sz="0" w:space="0" w:color="auto"/>
      </w:divBdr>
    </w:div>
    <w:div w:id="447552864">
      <w:bodyDiv w:val="1"/>
      <w:marLeft w:val="0"/>
      <w:marRight w:val="0"/>
      <w:marTop w:val="0"/>
      <w:marBottom w:val="0"/>
      <w:divBdr>
        <w:top w:val="none" w:sz="0" w:space="0" w:color="auto"/>
        <w:left w:val="none" w:sz="0" w:space="0" w:color="auto"/>
        <w:bottom w:val="none" w:sz="0" w:space="0" w:color="auto"/>
        <w:right w:val="none" w:sz="0" w:space="0" w:color="auto"/>
      </w:divBdr>
    </w:div>
    <w:div w:id="532112342">
      <w:bodyDiv w:val="1"/>
      <w:marLeft w:val="0"/>
      <w:marRight w:val="0"/>
      <w:marTop w:val="0"/>
      <w:marBottom w:val="0"/>
      <w:divBdr>
        <w:top w:val="none" w:sz="0" w:space="0" w:color="auto"/>
        <w:left w:val="none" w:sz="0" w:space="0" w:color="auto"/>
        <w:bottom w:val="none" w:sz="0" w:space="0" w:color="auto"/>
        <w:right w:val="none" w:sz="0" w:space="0" w:color="auto"/>
      </w:divBdr>
    </w:div>
    <w:div w:id="636490798">
      <w:bodyDiv w:val="1"/>
      <w:marLeft w:val="0"/>
      <w:marRight w:val="0"/>
      <w:marTop w:val="0"/>
      <w:marBottom w:val="0"/>
      <w:divBdr>
        <w:top w:val="none" w:sz="0" w:space="0" w:color="auto"/>
        <w:left w:val="none" w:sz="0" w:space="0" w:color="auto"/>
        <w:bottom w:val="none" w:sz="0" w:space="0" w:color="auto"/>
        <w:right w:val="none" w:sz="0" w:space="0" w:color="auto"/>
      </w:divBdr>
    </w:div>
    <w:div w:id="1043677425">
      <w:bodyDiv w:val="1"/>
      <w:marLeft w:val="0"/>
      <w:marRight w:val="0"/>
      <w:marTop w:val="0"/>
      <w:marBottom w:val="0"/>
      <w:divBdr>
        <w:top w:val="none" w:sz="0" w:space="0" w:color="auto"/>
        <w:left w:val="none" w:sz="0" w:space="0" w:color="auto"/>
        <w:bottom w:val="none" w:sz="0" w:space="0" w:color="auto"/>
        <w:right w:val="none" w:sz="0" w:space="0" w:color="auto"/>
      </w:divBdr>
    </w:div>
    <w:div w:id="1517306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ia.com/bible/esv/Psalm%205.8"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biblia.com/bible/esv/Psalm%204.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ervapedia.com/New_Age" TargetMode="External"/><Relationship Id="rId11" Type="http://schemas.openxmlformats.org/officeDocument/2006/relationships/hyperlink" Target="http://biblia.com/bible/esv/Matthew%206.11" TargetMode="External"/><Relationship Id="rId5" Type="http://schemas.openxmlformats.org/officeDocument/2006/relationships/webSettings" Target="webSettings.xml"/><Relationship Id="rId10" Type="http://schemas.openxmlformats.org/officeDocument/2006/relationships/hyperlink" Target="http://biblia.com/bible/esv/Psalm%207.1" TargetMode="External"/><Relationship Id="rId4" Type="http://schemas.openxmlformats.org/officeDocument/2006/relationships/settings" Target="settings.xml"/><Relationship Id="rId9" Type="http://schemas.openxmlformats.org/officeDocument/2006/relationships/hyperlink" Target="http://biblia.com/bible/esv/Psalm%206.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565</Words>
  <Characters>3225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5</cp:revision>
  <cp:lastPrinted>2014-12-11T23:35:00Z</cp:lastPrinted>
  <dcterms:created xsi:type="dcterms:W3CDTF">2014-12-11T21:58:00Z</dcterms:created>
  <dcterms:modified xsi:type="dcterms:W3CDTF">2014-12-12T00:26:00Z</dcterms:modified>
</cp:coreProperties>
</file>